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Hohlraumboden - Neubau Stadthaus 4 - Bauwerke Münster GmbH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2026-0582-BW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Nass- und Trockenhohlraumboden auf 12.800m2 über fünf Etagen und vier Bauteilen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